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B8C" w:rsidRDefault="00686B8C" w:rsidP="00686B8C">
      <w:pPr>
        <w:spacing w:afterLines="50" w:line="580" w:lineRule="exact"/>
        <w:jc w:val="center"/>
        <w:rPr>
          <w:rFonts w:ascii="方正小标宋简体"/>
          <w:b/>
          <w:sz w:val="32"/>
          <w:szCs w:val="32"/>
        </w:rPr>
      </w:pPr>
      <w:r>
        <w:rPr>
          <w:rFonts w:ascii="方正小标宋简体" w:hAnsi="方正小标宋简体"/>
          <w:sz w:val="32"/>
          <w:szCs w:val="32"/>
        </w:rPr>
        <w:t>机关、群团统一社会信用代码赋码办事指南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2"/>
        <w:gridCol w:w="2171"/>
        <w:gridCol w:w="213"/>
        <w:gridCol w:w="213"/>
        <w:gridCol w:w="1972"/>
        <w:gridCol w:w="2261"/>
      </w:tblGrid>
      <w:tr w:rsidR="00686B8C" w:rsidTr="00686B8C">
        <w:trPr>
          <w:trHeight w:val="37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sz w:val="21"/>
                <w:szCs w:val="21"/>
              </w:rPr>
            </w:pPr>
            <w:r>
              <w:rPr>
                <w:rFonts w:ascii="黑体" w:eastAsia="黑体" w:hAnsi="黑体" w:hint="eastAsia"/>
                <w:b/>
                <w:bCs/>
                <w:sz w:val="21"/>
                <w:szCs w:val="21"/>
              </w:rPr>
              <w:t>归属主项</w:t>
            </w:r>
          </w:p>
        </w:tc>
        <w:tc>
          <w:tcPr>
            <w:tcW w:w="0" w:type="auto"/>
            <w:gridSpan w:val="5"/>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仿宋_GB2312" w:hAnsi="仿宋_GB2312"/>
                <w:bCs/>
                <w:sz w:val="21"/>
                <w:szCs w:val="21"/>
              </w:rPr>
            </w:pPr>
            <w:r>
              <w:rPr>
                <w:rFonts w:ascii="仿宋_GB2312" w:hAnsi="仿宋_GB2312"/>
                <w:bCs/>
                <w:sz w:val="21"/>
                <w:szCs w:val="21"/>
              </w:rPr>
              <w:t>机关、群团统一社会信用代码赋码</w:t>
            </w:r>
          </w:p>
        </w:tc>
      </w:tr>
      <w:tr w:rsidR="00686B8C" w:rsidTr="00686B8C">
        <w:trPr>
          <w:trHeight w:val="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sz w:val="21"/>
                <w:szCs w:val="21"/>
              </w:rPr>
            </w:pPr>
            <w:r>
              <w:rPr>
                <w:rFonts w:ascii="黑体" w:eastAsia="黑体" w:hAnsi="黑体" w:hint="eastAsia"/>
                <w:b/>
                <w:bCs/>
                <w:sz w:val="21"/>
                <w:szCs w:val="21"/>
              </w:rPr>
              <w:t>服务对象</w:t>
            </w:r>
          </w:p>
        </w:tc>
        <w:tc>
          <w:tcPr>
            <w:tcW w:w="0" w:type="auto"/>
            <w:gridSpan w:val="5"/>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仿宋_GB2312" w:hAnsi="仿宋_GB2312"/>
                <w:bCs/>
                <w:sz w:val="21"/>
                <w:szCs w:val="21"/>
              </w:rPr>
            </w:pPr>
            <w:r>
              <w:rPr>
                <w:rFonts w:ascii="仿宋_GB2312" w:hAnsi="仿宋_GB2312"/>
                <w:bCs/>
                <w:sz w:val="21"/>
                <w:szCs w:val="21"/>
              </w:rPr>
              <w:t>机关、群团</w:t>
            </w:r>
          </w:p>
        </w:tc>
      </w:tr>
      <w:tr w:rsidR="00686B8C" w:rsidTr="00686B8C">
        <w:trPr>
          <w:trHeight w:val="29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sz w:val="21"/>
                <w:szCs w:val="21"/>
              </w:rPr>
            </w:pPr>
            <w:r>
              <w:rPr>
                <w:rFonts w:ascii="黑体" w:eastAsia="黑体" w:hAnsi="黑体" w:hint="eastAsia"/>
                <w:b/>
                <w:bCs/>
                <w:sz w:val="21"/>
                <w:szCs w:val="21"/>
              </w:rPr>
              <w:t>实施主体</w:t>
            </w:r>
          </w:p>
        </w:tc>
        <w:tc>
          <w:tcPr>
            <w:tcW w:w="0" w:type="auto"/>
            <w:gridSpan w:val="5"/>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仿宋_GB2312" w:hAnsi="仿宋_GB2312"/>
                <w:bCs/>
                <w:sz w:val="21"/>
                <w:szCs w:val="21"/>
              </w:rPr>
            </w:pPr>
            <w:r>
              <w:rPr>
                <w:rFonts w:ascii="仿宋_GB2312" w:hAnsi="仿宋_GB2312"/>
                <w:bCs/>
                <w:sz w:val="21"/>
                <w:szCs w:val="21"/>
              </w:rPr>
              <w:t>中共河间市委机构编制委员会办公室</w:t>
            </w:r>
          </w:p>
        </w:tc>
      </w:tr>
      <w:tr w:rsidR="00686B8C" w:rsidTr="00686B8C">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sz w:val="21"/>
                <w:szCs w:val="21"/>
              </w:rPr>
            </w:pPr>
            <w:r>
              <w:rPr>
                <w:rFonts w:ascii="黑体" w:eastAsia="黑体" w:hAnsi="黑体" w:hint="eastAsia"/>
                <w:b/>
                <w:bCs/>
                <w:sz w:val="21"/>
                <w:szCs w:val="21"/>
              </w:rPr>
              <w:t>实施范围</w:t>
            </w:r>
          </w:p>
        </w:tc>
        <w:tc>
          <w:tcPr>
            <w:tcW w:w="0" w:type="auto"/>
            <w:gridSpan w:val="5"/>
            <w:tcBorders>
              <w:top w:val="single" w:sz="4" w:space="0" w:color="auto"/>
              <w:left w:val="nil"/>
              <w:bottom w:val="single" w:sz="4" w:space="0" w:color="auto"/>
              <w:right w:val="single" w:sz="4" w:space="0" w:color="auto"/>
            </w:tcBorders>
            <w:vAlign w:val="center"/>
            <w:hideMark/>
          </w:tcPr>
          <w:p w:rsidR="00686B8C" w:rsidRDefault="00686B8C">
            <w:pPr>
              <w:spacing w:line="400" w:lineRule="exact"/>
              <w:rPr>
                <w:rFonts w:ascii="仿宋_GB2312" w:hAnsi="仿宋_GB2312"/>
                <w:bCs/>
                <w:sz w:val="21"/>
                <w:szCs w:val="21"/>
              </w:rPr>
            </w:pPr>
            <w:r>
              <w:rPr>
                <w:rFonts w:ascii="仿宋_GB2312" w:hAnsi="仿宋_GB2312"/>
                <w:bCs/>
                <w:sz w:val="21"/>
                <w:szCs w:val="21"/>
              </w:rPr>
              <w:t>河间市</w:t>
            </w:r>
          </w:p>
        </w:tc>
      </w:tr>
      <w:tr w:rsidR="00686B8C" w:rsidTr="00686B8C">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sz w:val="21"/>
                <w:szCs w:val="21"/>
              </w:rPr>
            </w:pPr>
            <w:r>
              <w:rPr>
                <w:rFonts w:ascii="黑体" w:eastAsia="黑体" w:hAnsi="黑体" w:hint="eastAsia"/>
                <w:b/>
                <w:bCs/>
                <w:sz w:val="21"/>
                <w:szCs w:val="21"/>
              </w:rPr>
              <w:t>设立依据</w:t>
            </w:r>
          </w:p>
        </w:tc>
        <w:tc>
          <w:tcPr>
            <w:tcW w:w="0" w:type="auto"/>
            <w:gridSpan w:val="5"/>
            <w:tcBorders>
              <w:top w:val="single" w:sz="4" w:space="0" w:color="auto"/>
              <w:left w:val="nil"/>
              <w:bottom w:val="single" w:sz="4" w:space="0" w:color="auto"/>
              <w:right w:val="single" w:sz="4" w:space="0" w:color="auto"/>
            </w:tcBorders>
            <w:vAlign w:val="center"/>
            <w:hideMark/>
          </w:tcPr>
          <w:p w:rsidR="00686B8C" w:rsidRDefault="00686B8C">
            <w:pPr>
              <w:spacing w:after="0" w:line="300" w:lineRule="exact"/>
              <w:rPr>
                <w:rFonts w:ascii="仿宋_GB2312" w:hAnsi="仿宋_GB2312"/>
                <w:b/>
                <w:sz w:val="21"/>
                <w:szCs w:val="21"/>
              </w:rPr>
            </w:pPr>
            <w:r>
              <w:rPr>
                <w:rFonts w:ascii="仿宋_GB2312" w:hAnsi="仿宋_GB2312"/>
                <w:bCs/>
                <w:sz w:val="21"/>
                <w:szCs w:val="21"/>
              </w:rPr>
              <w:t>《中央编办关于开展机关、编办直接管理机构编制的群众团体统一社会信用代码赋码工作的通知》》（中央编办发〔</w:t>
            </w:r>
            <w:r>
              <w:rPr>
                <w:rFonts w:ascii="仿宋_GB2312" w:hAnsi="仿宋_GB2312"/>
                <w:bCs/>
                <w:sz w:val="21"/>
                <w:szCs w:val="21"/>
              </w:rPr>
              <w:t>2016</w:t>
            </w:r>
            <w:r>
              <w:rPr>
                <w:rFonts w:ascii="仿宋_GB2312" w:hAnsi="仿宋_GB2312"/>
                <w:bCs/>
                <w:sz w:val="21"/>
                <w:szCs w:val="21"/>
              </w:rPr>
              <w:t>〕</w:t>
            </w:r>
            <w:r>
              <w:rPr>
                <w:rFonts w:ascii="仿宋_GB2312" w:hAnsi="仿宋_GB2312"/>
                <w:bCs/>
                <w:sz w:val="21"/>
                <w:szCs w:val="21"/>
              </w:rPr>
              <w:t>3</w:t>
            </w:r>
            <w:r>
              <w:rPr>
                <w:rFonts w:ascii="仿宋_GB2312" w:hAnsi="仿宋_GB2312"/>
                <w:bCs/>
                <w:sz w:val="21"/>
                <w:szCs w:val="21"/>
              </w:rPr>
              <w:t>号）；《国务院关于批转发展改革委等部门法人和其他组织统一社会信用代码制度建设总体方案的通知》（国发〔</w:t>
            </w:r>
            <w:r>
              <w:rPr>
                <w:rFonts w:ascii="仿宋_GB2312" w:hAnsi="仿宋_GB2312"/>
                <w:bCs/>
                <w:sz w:val="21"/>
                <w:szCs w:val="21"/>
              </w:rPr>
              <w:t>2015</w:t>
            </w:r>
            <w:r>
              <w:rPr>
                <w:rFonts w:ascii="仿宋_GB2312" w:hAnsi="仿宋_GB2312"/>
                <w:bCs/>
                <w:sz w:val="21"/>
                <w:szCs w:val="21"/>
              </w:rPr>
              <w:t>〕</w:t>
            </w:r>
            <w:r>
              <w:rPr>
                <w:rFonts w:ascii="仿宋_GB2312" w:hAnsi="仿宋_GB2312"/>
                <w:bCs/>
                <w:sz w:val="21"/>
                <w:szCs w:val="21"/>
              </w:rPr>
              <w:t>33</w:t>
            </w:r>
            <w:r>
              <w:rPr>
                <w:rFonts w:ascii="仿宋_GB2312" w:hAnsi="仿宋_GB2312"/>
                <w:bCs/>
                <w:sz w:val="21"/>
                <w:szCs w:val="21"/>
              </w:rPr>
              <w:t>号）</w:t>
            </w:r>
          </w:p>
        </w:tc>
      </w:tr>
      <w:tr w:rsidR="00686B8C" w:rsidTr="00686B8C">
        <w:trPr>
          <w:trHeight w:val="65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sz w:val="21"/>
                <w:szCs w:val="21"/>
              </w:rPr>
            </w:pPr>
            <w:r>
              <w:rPr>
                <w:rFonts w:ascii="黑体" w:eastAsia="黑体" w:hAnsi="黑体" w:hint="eastAsia"/>
                <w:b/>
                <w:bCs/>
                <w:sz w:val="21"/>
                <w:szCs w:val="21"/>
              </w:rPr>
              <w:t>事项类别</w:t>
            </w:r>
          </w:p>
        </w:tc>
        <w:tc>
          <w:tcPr>
            <w:tcW w:w="0" w:type="auto"/>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宋体" w:eastAsia="仿宋"/>
                <w:b/>
                <w:sz w:val="21"/>
                <w:szCs w:val="21"/>
              </w:rPr>
            </w:pPr>
            <w:r>
              <w:rPr>
                <w:rFonts w:ascii="仿宋" w:eastAsia="仿宋" w:hAnsi="仿宋" w:hint="eastAsia"/>
                <w:bCs/>
                <w:sz w:val="21"/>
                <w:szCs w:val="21"/>
              </w:rPr>
              <w:t>行政许可</w:t>
            </w:r>
          </w:p>
        </w:tc>
        <w:tc>
          <w:tcPr>
            <w:tcW w:w="0" w:type="auto"/>
            <w:gridSpan w:val="3"/>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宋体"/>
                <w:b/>
                <w:sz w:val="21"/>
                <w:szCs w:val="21"/>
              </w:rPr>
            </w:pPr>
            <w:r>
              <w:rPr>
                <w:rFonts w:ascii="微软雅黑" w:hAnsi="微软雅黑" w:hint="eastAsia"/>
                <w:b/>
                <w:bCs/>
                <w:sz w:val="21"/>
                <w:szCs w:val="21"/>
              </w:rPr>
              <w:t>办件类型</w:t>
            </w:r>
          </w:p>
        </w:tc>
        <w:tc>
          <w:tcPr>
            <w:tcW w:w="0" w:type="auto"/>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宋体"/>
                <w:b/>
                <w:sz w:val="21"/>
                <w:szCs w:val="21"/>
              </w:rPr>
            </w:pPr>
            <w:r>
              <w:rPr>
                <w:rFonts w:ascii="仿宋" w:eastAsia="仿宋" w:hAnsi="仿宋" w:hint="eastAsia"/>
                <w:bCs/>
                <w:sz w:val="21"/>
                <w:szCs w:val="21"/>
              </w:rPr>
              <w:t>承诺件</w:t>
            </w:r>
          </w:p>
        </w:tc>
      </w:tr>
      <w:tr w:rsidR="00686B8C" w:rsidTr="00686B8C">
        <w:trPr>
          <w:trHeight w:val="131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sz w:val="21"/>
                <w:szCs w:val="21"/>
              </w:rPr>
            </w:pPr>
            <w:r>
              <w:rPr>
                <w:rFonts w:ascii="黑体" w:eastAsia="黑体" w:hAnsi="黑体" w:hint="eastAsia"/>
                <w:b/>
                <w:bCs/>
                <w:sz w:val="21"/>
                <w:szCs w:val="21"/>
              </w:rPr>
              <w:t>受理条件</w:t>
            </w:r>
          </w:p>
        </w:tc>
        <w:tc>
          <w:tcPr>
            <w:tcW w:w="0" w:type="auto"/>
            <w:gridSpan w:val="5"/>
            <w:tcBorders>
              <w:top w:val="single" w:sz="4" w:space="0" w:color="auto"/>
              <w:left w:val="nil"/>
              <w:bottom w:val="single" w:sz="4" w:space="0" w:color="auto"/>
              <w:right w:val="single" w:sz="4" w:space="0" w:color="auto"/>
            </w:tcBorders>
            <w:vAlign w:val="center"/>
            <w:hideMark/>
          </w:tcPr>
          <w:p w:rsidR="00686B8C" w:rsidRDefault="00686B8C">
            <w:pPr>
              <w:jc w:val="both"/>
              <w:rPr>
                <w:rFonts w:ascii="仿宋" w:eastAsia="仿宋" w:hAnsi="仿宋"/>
                <w:bCs/>
                <w:sz w:val="21"/>
                <w:szCs w:val="21"/>
              </w:rPr>
            </w:pPr>
            <w:r>
              <w:rPr>
                <w:rFonts w:ascii="仿宋_GB2312" w:hAnsi="仿宋_GB2312"/>
                <w:bCs/>
                <w:sz w:val="21"/>
                <w:szCs w:val="21"/>
              </w:rPr>
              <w:t xml:space="preserve"> </w:t>
            </w:r>
            <w:r>
              <w:rPr>
                <w:rFonts w:ascii="仿宋_GB2312" w:hAnsi="仿宋_GB2312"/>
                <w:bCs/>
                <w:sz w:val="21"/>
                <w:szCs w:val="21"/>
              </w:rPr>
              <w:t>机关、群团在申领统一社会信用代码、办理刊载事项变更时，按照相关服务指南填写表格、加盖公章并提交相关证明材料。赋码机关接受申请单位材料并核对后，对符合要求的机关、群团赋码并发放《统一社会信用代码证书》</w:t>
            </w:r>
            <w:r>
              <w:rPr>
                <w:rFonts w:ascii="微软雅黑" w:hAnsi="微软雅黑" w:hint="eastAsia"/>
                <w:color w:val="3D4B64"/>
                <w:sz w:val="19"/>
                <w:szCs w:val="19"/>
                <w:shd w:val="clear" w:color="auto" w:fill="FFFFFF"/>
              </w:rPr>
              <w:t>。</w:t>
            </w:r>
          </w:p>
        </w:tc>
      </w:tr>
      <w:tr w:rsidR="00686B8C" w:rsidTr="00686B8C">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color w:val="000000"/>
                <w:sz w:val="21"/>
                <w:szCs w:val="21"/>
              </w:rPr>
            </w:pPr>
            <w:r>
              <w:rPr>
                <w:rFonts w:ascii="黑体" w:eastAsia="黑体" w:hAnsi="黑体" w:hint="eastAsia"/>
                <w:b/>
                <w:bCs/>
                <w:color w:val="000000"/>
                <w:sz w:val="21"/>
                <w:szCs w:val="21"/>
              </w:rPr>
              <w:t>申请材料（含材料名称/材料形式/材料类型）</w:t>
            </w:r>
          </w:p>
        </w:tc>
        <w:tc>
          <w:tcPr>
            <w:tcW w:w="0" w:type="auto"/>
            <w:gridSpan w:val="5"/>
            <w:tcBorders>
              <w:top w:val="single" w:sz="4" w:space="0" w:color="auto"/>
              <w:left w:val="nil"/>
              <w:bottom w:val="single" w:sz="4" w:space="0" w:color="auto"/>
              <w:right w:val="single" w:sz="4" w:space="0" w:color="auto"/>
            </w:tcBorders>
            <w:vAlign w:val="center"/>
            <w:hideMark/>
          </w:tcPr>
          <w:p w:rsidR="00686B8C" w:rsidRDefault="00686B8C">
            <w:pPr>
              <w:textAlignment w:val="center"/>
              <w:rPr>
                <w:rFonts w:ascii="微软雅黑" w:hAnsi="微软雅黑"/>
                <w:color w:val="000000"/>
                <w:sz w:val="19"/>
                <w:szCs w:val="19"/>
              </w:rPr>
            </w:pPr>
            <w:hyperlink r:id="rId4" w:tooltip="http://10.242.2.19/qlk/epointqlk/audititem/material/javascript:;" w:history="1">
              <w:r>
                <w:rPr>
                  <w:rStyle w:val="a3"/>
                  <w:rFonts w:ascii="仿宋_GB2312" w:hAnsi="仿宋_GB2312"/>
                  <w:bCs/>
                  <w:sz w:val="21"/>
                  <w:szCs w:val="21"/>
                </w:rPr>
                <w:t>机关、群团等统一社会信用代码证书原件</w:t>
              </w:r>
              <w:r>
                <w:rPr>
                  <w:rStyle w:val="a3"/>
                  <w:rFonts w:ascii="仿宋_GB2312" w:hAnsi="仿宋_GB2312"/>
                  <w:bCs/>
                  <w:sz w:val="21"/>
                  <w:szCs w:val="21"/>
                </w:rPr>
                <w:t> </w:t>
              </w:r>
              <w:r>
                <w:rPr>
                  <w:rStyle w:val="a3"/>
                  <w:rFonts w:ascii="仿宋_GB2312" w:hAnsi="仿宋_GB2312"/>
                  <w:bCs/>
                  <w:sz w:val="21"/>
                  <w:szCs w:val="21"/>
                </w:rPr>
                <w:t>信息变更申请表</w:t>
              </w:r>
            </w:hyperlink>
            <w:r>
              <w:rPr>
                <w:rFonts w:ascii="仿宋_GB2312" w:hAnsi="仿宋_GB2312"/>
                <w:bCs/>
                <w:sz w:val="21"/>
                <w:szCs w:val="21"/>
              </w:rPr>
              <w:t>原件原件</w:t>
            </w:r>
          </w:p>
        </w:tc>
      </w:tr>
      <w:tr w:rsidR="00686B8C" w:rsidTr="00686B8C">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sz w:val="21"/>
                <w:szCs w:val="21"/>
              </w:rPr>
            </w:pPr>
            <w:r>
              <w:rPr>
                <w:rFonts w:ascii="黑体" w:eastAsia="黑体" w:hAnsi="黑体" w:hint="eastAsia"/>
                <w:b/>
                <w:bCs/>
                <w:sz w:val="21"/>
                <w:szCs w:val="21"/>
              </w:rPr>
              <w:t>受理方式</w:t>
            </w:r>
          </w:p>
        </w:tc>
        <w:tc>
          <w:tcPr>
            <w:tcW w:w="0" w:type="auto"/>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宋体"/>
                <w:b/>
                <w:sz w:val="21"/>
                <w:szCs w:val="21"/>
              </w:rPr>
            </w:pPr>
            <w:r>
              <w:rPr>
                <w:rFonts w:ascii="微软雅黑" w:hAnsi="微软雅黑" w:cs="宋体" w:hint="eastAsia"/>
                <w:b/>
                <w:sz w:val="21"/>
                <w:szCs w:val="21"/>
              </w:rPr>
              <w:t>网上受理</w:t>
            </w:r>
          </w:p>
        </w:tc>
        <w:tc>
          <w:tcPr>
            <w:tcW w:w="0" w:type="auto"/>
            <w:gridSpan w:val="2"/>
            <w:tcBorders>
              <w:top w:val="single" w:sz="4" w:space="0" w:color="auto"/>
              <w:left w:val="nil"/>
              <w:bottom w:val="single" w:sz="4" w:space="0" w:color="auto"/>
              <w:right w:val="single" w:sz="4" w:space="0" w:color="auto"/>
            </w:tcBorders>
            <w:vAlign w:val="center"/>
            <w:hideMark/>
          </w:tcPr>
          <w:p w:rsidR="00686B8C" w:rsidRDefault="00686B8C">
            <w:pPr>
              <w:spacing w:after="0" w:line="300" w:lineRule="exact"/>
              <w:jc w:val="center"/>
              <w:rPr>
                <w:rFonts w:ascii="仿宋" w:eastAsia="仿宋" w:hAnsi="仿宋"/>
                <w:bCs/>
                <w:sz w:val="21"/>
                <w:szCs w:val="21"/>
              </w:rPr>
            </w:pPr>
            <w:r>
              <w:rPr>
                <w:rFonts w:ascii="仿宋" w:eastAsia="仿宋" w:hAnsi="仿宋" w:hint="eastAsia"/>
                <w:bCs/>
                <w:sz w:val="21"/>
                <w:szCs w:val="21"/>
              </w:rPr>
              <w:t>√</w:t>
            </w:r>
          </w:p>
        </w:tc>
        <w:tc>
          <w:tcPr>
            <w:tcW w:w="0" w:type="auto"/>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宋体"/>
                <w:b/>
                <w:sz w:val="21"/>
                <w:szCs w:val="21"/>
              </w:rPr>
            </w:pPr>
            <w:r>
              <w:rPr>
                <w:rFonts w:ascii="微软雅黑" w:hAnsi="微软雅黑" w:cs="宋体" w:hint="eastAsia"/>
                <w:b/>
                <w:sz w:val="21"/>
                <w:szCs w:val="21"/>
              </w:rPr>
              <w:t>窗口受理</w:t>
            </w:r>
          </w:p>
        </w:tc>
        <w:tc>
          <w:tcPr>
            <w:tcW w:w="0" w:type="auto"/>
            <w:tcBorders>
              <w:top w:val="single" w:sz="4" w:space="0" w:color="auto"/>
              <w:left w:val="nil"/>
              <w:bottom w:val="single" w:sz="4" w:space="0" w:color="auto"/>
              <w:right w:val="single" w:sz="4" w:space="0" w:color="auto"/>
            </w:tcBorders>
            <w:vAlign w:val="center"/>
            <w:hideMark/>
          </w:tcPr>
          <w:p w:rsidR="00686B8C" w:rsidRDefault="00686B8C">
            <w:pPr>
              <w:spacing w:after="0" w:line="300" w:lineRule="exact"/>
              <w:jc w:val="center"/>
              <w:rPr>
                <w:rFonts w:ascii="仿宋" w:eastAsia="仿宋" w:hAnsi="仿宋"/>
                <w:bCs/>
                <w:sz w:val="21"/>
                <w:szCs w:val="21"/>
              </w:rPr>
            </w:pPr>
            <w:r>
              <w:rPr>
                <w:rFonts w:ascii="仿宋" w:eastAsia="仿宋" w:hAnsi="仿宋" w:hint="eastAsia"/>
                <w:bCs/>
                <w:sz w:val="21"/>
                <w:szCs w:val="21"/>
              </w:rPr>
              <w:t>√</w:t>
            </w:r>
          </w:p>
        </w:tc>
      </w:tr>
      <w:tr w:rsidR="00686B8C" w:rsidTr="00686B8C">
        <w:trPr>
          <w:trHeight w:val="72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sz w:val="21"/>
                <w:szCs w:val="21"/>
              </w:rPr>
            </w:pPr>
            <w:r>
              <w:rPr>
                <w:rFonts w:ascii="黑体" w:eastAsia="黑体" w:hAnsi="黑体" w:hint="eastAsia"/>
                <w:b/>
                <w:bCs/>
                <w:sz w:val="21"/>
                <w:szCs w:val="21"/>
              </w:rPr>
              <w:t>网上受理（办理）地址</w:t>
            </w:r>
          </w:p>
        </w:tc>
        <w:tc>
          <w:tcPr>
            <w:tcW w:w="0" w:type="auto"/>
            <w:gridSpan w:val="5"/>
            <w:tcBorders>
              <w:top w:val="single" w:sz="4" w:space="0" w:color="auto"/>
              <w:left w:val="nil"/>
              <w:bottom w:val="single" w:sz="4" w:space="0" w:color="auto"/>
              <w:right w:val="single" w:sz="4" w:space="0" w:color="auto"/>
            </w:tcBorders>
            <w:vAlign w:val="center"/>
          </w:tcPr>
          <w:p w:rsidR="00686B8C" w:rsidRDefault="00686B8C">
            <w:pPr>
              <w:spacing w:after="0" w:line="300" w:lineRule="exact"/>
              <w:jc w:val="center"/>
              <w:rPr>
                <w:rFonts w:ascii="微软雅黑" w:hAnsi="微软雅黑"/>
                <w:color w:val="3D4B64"/>
                <w:sz w:val="21"/>
                <w:szCs w:val="21"/>
                <w:shd w:val="clear" w:color="auto" w:fill="F7F7F7"/>
              </w:rPr>
            </w:pPr>
            <w:hyperlink r:id="rId5" w:history="1">
              <w:r>
                <w:rPr>
                  <w:rStyle w:val="a3"/>
                  <w:rFonts w:ascii="微软雅黑" w:hAnsi="微软雅黑" w:hint="eastAsia"/>
                  <w:sz w:val="21"/>
                  <w:szCs w:val="21"/>
                  <w:shd w:val="clear" w:color="auto" w:fill="F7F7F7"/>
                </w:rPr>
                <w:t>http://111.62.40.255/sqdj/flow/apply.do</w:t>
              </w:r>
            </w:hyperlink>
          </w:p>
          <w:p w:rsidR="00686B8C" w:rsidRDefault="00686B8C">
            <w:pPr>
              <w:spacing w:after="0" w:line="300" w:lineRule="exact"/>
              <w:jc w:val="center"/>
              <w:rPr>
                <w:rFonts w:ascii="微软雅黑" w:hAnsi="微软雅黑"/>
                <w:color w:val="3D4B64"/>
                <w:sz w:val="21"/>
                <w:szCs w:val="21"/>
                <w:shd w:val="clear" w:color="auto" w:fill="F7F7F7"/>
              </w:rPr>
            </w:pPr>
          </w:p>
        </w:tc>
      </w:tr>
      <w:tr w:rsidR="00686B8C" w:rsidTr="00686B8C">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sz w:val="21"/>
                <w:szCs w:val="21"/>
              </w:rPr>
            </w:pPr>
            <w:r>
              <w:rPr>
                <w:rFonts w:ascii="黑体" w:eastAsia="黑体" w:hAnsi="黑体" w:hint="eastAsia"/>
                <w:b/>
                <w:bCs/>
                <w:sz w:val="21"/>
                <w:szCs w:val="21"/>
              </w:rPr>
              <w:t>窗口受理地址</w:t>
            </w:r>
          </w:p>
        </w:tc>
        <w:tc>
          <w:tcPr>
            <w:tcW w:w="0" w:type="auto"/>
            <w:gridSpan w:val="5"/>
            <w:tcBorders>
              <w:top w:val="single" w:sz="4" w:space="0" w:color="auto"/>
              <w:left w:val="nil"/>
              <w:bottom w:val="single" w:sz="4" w:space="0" w:color="auto"/>
              <w:right w:val="single" w:sz="4" w:space="0" w:color="auto"/>
            </w:tcBorders>
            <w:vAlign w:val="center"/>
            <w:hideMark/>
          </w:tcPr>
          <w:p w:rsidR="00686B8C" w:rsidRDefault="00686B8C">
            <w:pPr>
              <w:spacing w:after="0" w:line="300" w:lineRule="exact"/>
              <w:jc w:val="center"/>
              <w:rPr>
                <w:rFonts w:ascii="宋体" w:hAnsi="宋体"/>
                <w:b/>
                <w:sz w:val="21"/>
                <w:szCs w:val="21"/>
              </w:rPr>
            </w:pPr>
            <w:r>
              <w:rPr>
                <w:rFonts w:ascii="仿宋" w:eastAsia="仿宋" w:hAnsi="仿宋" w:hint="eastAsia"/>
                <w:bCs/>
                <w:sz w:val="21"/>
                <w:szCs w:val="21"/>
              </w:rPr>
              <w:t>河北省沧州市河间市曙光路市委市政府大楼二楼233房间</w:t>
            </w:r>
          </w:p>
        </w:tc>
      </w:tr>
      <w:tr w:rsidR="00686B8C" w:rsidTr="00686B8C">
        <w:trPr>
          <w:trHeight w:val="46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sz w:val="21"/>
                <w:szCs w:val="21"/>
              </w:rPr>
            </w:pPr>
            <w:r>
              <w:rPr>
                <w:rFonts w:ascii="黑体" w:eastAsia="黑体" w:hAnsi="黑体" w:hint="eastAsia"/>
                <w:b/>
                <w:bCs/>
                <w:sz w:val="21"/>
                <w:szCs w:val="21"/>
              </w:rPr>
              <w:t>咨询电话</w:t>
            </w:r>
          </w:p>
        </w:tc>
        <w:tc>
          <w:tcPr>
            <w:tcW w:w="0" w:type="auto"/>
            <w:gridSpan w:val="5"/>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仿宋" w:eastAsia="仿宋" w:hAnsi="仿宋"/>
                <w:bCs/>
                <w:sz w:val="21"/>
                <w:szCs w:val="21"/>
              </w:rPr>
            </w:pPr>
            <w:r>
              <w:rPr>
                <w:rFonts w:ascii="仿宋" w:eastAsia="仿宋" w:hAnsi="仿宋" w:hint="eastAsia"/>
                <w:bCs/>
                <w:sz w:val="21"/>
                <w:szCs w:val="21"/>
              </w:rPr>
              <w:t>0317-3239307</w:t>
            </w:r>
          </w:p>
        </w:tc>
      </w:tr>
      <w:tr w:rsidR="00686B8C" w:rsidTr="00686B8C">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sz w:val="21"/>
                <w:szCs w:val="21"/>
              </w:rPr>
            </w:pPr>
            <w:r>
              <w:rPr>
                <w:rFonts w:ascii="黑体" w:eastAsia="黑体" w:hAnsi="黑体" w:hint="eastAsia"/>
                <w:b/>
                <w:bCs/>
                <w:sz w:val="21"/>
                <w:szCs w:val="21"/>
              </w:rPr>
              <w:t>办理流程</w:t>
            </w:r>
          </w:p>
        </w:tc>
        <w:tc>
          <w:tcPr>
            <w:tcW w:w="0" w:type="auto"/>
            <w:gridSpan w:val="5"/>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仿宋" w:eastAsia="仿宋" w:hAnsi="仿宋"/>
                <w:bCs/>
                <w:sz w:val="21"/>
                <w:szCs w:val="21"/>
              </w:rPr>
            </w:pPr>
            <w:r>
              <w:rPr>
                <w:rFonts w:ascii="仿宋" w:eastAsia="仿宋" w:hAnsi="仿宋" w:hint="eastAsia"/>
                <w:bCs/>
                <w:sz w:val="21"/>
                <w:szCs w:val="21"/>
              </w:rPr>
              <w:t>申请—受理—审核—决定</w:t>
            </w:r>
            <w:r>
              <w:rPr>
                <w:rFonts w:ascii="仿宋" w:eastAsia="仿宋" w:hAnsi="仿宋" w:hint="eastAsia"/>
                <w:bCs/>
                <w:sz w:val="24"/>
                <w:szCs w:val="24"/>
              </w:rPr>
              <w:t>—制证送达</w:t>
            </w:r>
          </w:p>
        </w:tc>
      </w:tr>
      <w:tr w:rsidR="00686B8C" w:rsidTr="00686B8C">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sz w:val="21"/>
                <w:szCs w:val="21"/>
              </w:rPr>
            </w:pPr>
            <w:r>
              <w:rPr>
                <w:rFonts w:ascii="黑体" w:eastAsia="黑体" w:hAnsi="黑体" w:hint="eastAsia"/>
                <w:b/>
                <w:bCs/>
                <w:sz w:val="21"/>
                <w:szCs w:val="21"/>
              </w:rPr>
              <w:t>特别程序</w:t>
            </w:r>
          </w:p>
        </w:tc>
        <w:tc>
          <w:tcPr>
            <w:tcW w:w="0" w:type="auto"/>
            <w:gridSpan w:val="2"/>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宋体"/>
                <w:b/>
                <w:sz w:val="21"/>
                <w:szCs w:val="21"/>
              </w:rPr>
            </w:pPr>
            <w:r>
              <w:rPr>
                <w:rFonts w:ascii="仿宋" w:eastAsia="仿宋" w:hAnsi="仿宋" w:hint="eastAsia"/>
                <w:bCs/>
                <w:sz w:val="21"/>
                <w:szCs w:val="21"/>
              </w:rPr>
              <w:t>无</w:t>
            </w:r>
          </w:p>
        </w:tc>
        <w:tc>
          <w:tcPr>
            <w:tcW w:w="0" w:type="auto"/>
            <w:gridSpan w:val="2"/>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宋体"/>
                <w:b/>
                <w:sz w:val="21"/>
                <w:szCs w:val="21"/>
              </w:rPr>
            </w:pPr>
            <w:r>
              <w:rPr>
                <w:rFonts w:ascii="微软雅黑" w:hAnsi="微软雅黑" w:hint="eastAsia"/>
                <w:b/>
                <w:bCs/>
                <w:sz w:val="21"/>
                <w:szCs w:val="21"/>
              </w:rPr>
              <w:t>数量限制</w:t>
            </w:r>
          </w:p>
        </w:tc>
        <w:tc>
          <w:tcPr>
            <w:tcW w:w="0" w:type="auto"/>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宋体"/>
                <w:b/>
                <w:sz w:val="21"/>
                <w:szCs w:val="21"/>
              </w:rPr>
            </w:pPr>
            <w:r>
              <w:rPr>
                <w:rFonts w:ascii="仿宋" w:eastAsia="仿宋" w:hAnsi="仿宋" w:hint="eastAsia"/>
                <w:bCs/>
                <w:sz w:val="21"/>
                <w:szCs w:val="21"/>
              </w:rPr>
              <w:t>无</w:t>
            </w:r>
          </w:p>
        </w:tc>
      </w:tr>
      <w:tr w:rsidR="00686B8C" w:rsidTr="00686B8C">
        <w:trPr>
          <w:trHeight w:val="440"/>
          <w:jc w:val="center"/>
        </w:trPr>
        <w:tc>
          <w:tcPr>
            <w:tcW w:w="1691" w:type="dxa"/>
            <w:tcBorders>
              <w:top w:val="single" w:sz="4" w:space="0" w:color="auto"/>
              <w:left w:val="single" w:sz="4" w:space="0" w:color="auto"/>
              <w:bottom w:val="single" w:sz="4" w:space="0" w:color="auto"/>
              <w:right w:val="single" w:sz="4" w:space="0" w:color="auto"/>
            </w:tcBorders>
            <w:vAlign w:val="center"/>
            <w:hideMark/>
          </w:tcPr>
          <w:p w:rsidR="00686B8C" w:rsidRDefault="00686B8C">
            <w:pPr>
              <w:jc w:val="center"/>
              <w:rPr>
                <w:rFonts w:ascii="黑体" w:eastAsia="黑体" w:hAnsi="黑体"/>
                <w:b/>
                <w:bCs/>
                <w:sz w:val="21"/>
                <w:szCs w:val="21"/>
              </w:rPr>
            </w:pPr>
            <w:r>
              <w:rPr>
                <w:rFonts w:ascii="黑体" w:eastAsia="黑体" w:hAnsi="黑体" w:hint="eastAsia"/>
                <w:b/>
                <w:bCs/>
                <w:sz w:val="21"/>
                <w:szCs w:val="21"/>
              </w:rPr>
              <w:t>法定办结时限</w:t>
            </w:r>
          </w:p>
        </w:tc>
        <w:tc>
          <w:tcPr>
            <w:tcW w:w="2563" w:type="dxa"/>
            <w:gridSpan w:val="2"/>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仿宋" w:eastAsia="仿宋" w:hAnsi="仿宋"/>
                <w:bCs/>
                <w:sz w:val="21"/>
                <w:szCs w:val="21"/>
              </w:rPr>
            </w:pPr>
            <w:r>
              <w:rPr>
                <w:rFonts w:ascii="仿宋" w:eastAsia="仿宋" w:hAnsi="仿宋" w:hint="eastAsia"/>
                <w:bCs/>
                <w:sz w:val="21"/>
                <w:szCs w:val="21"/>
              </w:rPr>
              <w:t>30个工作日</w:t>
            </w:r>
          </w:p>
        </w:tc>
        <w:tc>
          <w:tcPr>
            <w:tcW w:w="0" w:type="auto"/>
            <w:gridSpan w:val="2"/>
            <w:tcBorders>
              <w:top w:val="single" w:sz="4" w:space="0" w:color="auto"/>
              <w:left w:val="nil"/>
              <w:bottom w:val="single" w:sz="4" w:space="0" w:color="auto"/>
              <w:right w:val="single" w:sz="4" w:space="0" w:color="auto"/>
            </w:tcBorders>
            <w:vAlign w:val="center"/>
            <w:hideMark/>
          </w:tcPr>
          <w:p w:rsidR="00686B8C" w:rsidRDefault="00686B8C">
            <w:pPr>
              <w:jc w:val="center"/>
              <w:rPr>
                <w:rFonts w:ascii="黑体" w:eastAsia="黑体" w:hAnsi="黑体"/>
                <w:b/>
                <w:bCs/>
                <w:sz w:val="21"/>
                <w:szCs w:val="21"/>
              </w:rPr>
            </w:pPr>
            <w:r>
              <w:rPr>
                <w:rFonts w:ascii="黑体" w:eastAsia="黑体" w:hAnsi="黑体" w:hint="eastAsia"/>
                <w:b/>
                <w:bCs/>
                <w:sz w:val="21"/>
                <w:szCs w:val="21"/>
              </w:rPr>
              <w:t>承诺办结时限</w:t>
            </w:r>
          </w:p>
        </w:tc>
        <w:tc>
          <w:tcPr>
            <w:tcW w:w="0" w:type="auto"/>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仿宋" w:eastAsia="仿宋" w:hAnsi="仿宋"/>
                <w:bCs/>
                <w:sz w:val="21"/>
                <w:szCs w:val="21"/>
              </w:rPr>
            </w:pPr>
            <w:r>
              <w:rPr>
                <w:rFonts w:ascii="仿宋" w:eastAsia="仿宋" w:hAnsi="仿宋" w:hint="eastAsia"/>
                <w:bCs/>
                <w:sz w:val="21"/>
                <w:szCs w:val="21"/>
              </w:rPr>
              <w:t xml:space="preserve">  5个工作日</w:t>
            </w:r>
          </w:p>
        </w:tc>
      </w:tr>
      <w:tr w:rsidR="00686B8C" w:rsidTr="00686B8C">
        <w:trPr>
          <w:trHeight w:val="45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86B8C" w:rsidRDefault="00686B8C">
            <w:pPr>
              <w:spacing w:line="400" w:lineRule="exact"/>
              <w:jc w:val="center"/>
              <w:rPr>
                <w:rFonts w:ascii="黑体" w:eastAsia="黑体" w:hAnsi="黑体"/>
                <w:b/>
                <w:bCs/>
                <w:sz w:val="21"/>
                <w:szCs w:val="21"/>
              </w:rPr>
            </w:pPr>
            <w:r>
              <w:rPr>
                <w:rFonts w:ascii="黑体" w:eastAsia="黑体" w:hAnsi="黑体" w:hint="eastAsia"/>
                <w:b/>
                <w:bCs/>
                <w:sz w:val="21"/>
                <w:szCs w:val="21"/>
              </w:rPr>
              <w:t>收费标准及依据</w:t>
            </w:r>
          </w:p>
        </w:tc>
        <w:tc>
          <w:tcPr>
            <w:tcW w:w="0" w:type="auto"/>
            <w:gridSpan w:val="5"/>
            <w:tcBorders>
              <w:top w:val="single" w:sz="4" w:space="0" w:color="auto"/>
              <w:left w:val="nil"/>
              <w:bottom w:val="single" w:sz="4" w:space="0" w:color="auto"/>
              <w:right w:val="single" w:sz="4" w:space="0" w:color="auto"/>
            </w:tcBorders>
            <w:vAlign w:val="center"/>
            <w:hideMark/>
          </w:tcPr>
          <w:p w:rsidR="00686B8C" w:rsidRDefault="00686B8C">
            <w:pPr>
              <w:spacing w:line="400" w:lineRule="exact"/>
              <w:jc w:val="center"/>
              <w:rPr>
                <w:rFonts w:ascii="仿宋" w:eastAsia="仿宋" w:hAnsi="仿宋"/>
                <w:bCs/>
                <w:sz w:val="21"/>
                <w:szCs w:val="21"/>
              </w:rPr>
            </w:pPr>
            <w:r>
              <w:rPr>
                <w:rFonts w:ascii="仿宋" w:eastAsia="仿宋" w:hAnsi="仿宋" w:hint="eastAsia"/>
                <w:bCs/>
                <w:sz w:val="21"/>
                <w:szCs w:val="21"/>
              </w:rPr>
              <w:t>无</w:t>
            </w:r>
          </w:p>
        </w:tc>
      </w:tr>
    </w:tbl>
    <w:p w:rsidR="008C0027" w:rsidRDefault="008C0027"/>
    <w:sectPr w:rsidR="008C0027" w:rsidSect="008C002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小标宋简体">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Times New Roman"/>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6B8C"/>
    <w:rsid w:val="00686B8C"/>
    <w:rsid w:val="008C00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B8C"/>
    <w:pPr>
      <w:adjustRightInd w:val="0"/>
      <w:snapToGrid w:val="0"/>
      <w:spacing w:before="100" w:beforeAutospacing="1"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6B8C"/>
    <w:rPr>
      <w:color w:val="0000FF"/>
      <w:u w:val="single"/>
    </w:rPr>
  </w:style>
</w:styles>
</file>

<file path=word/webSettings.xml><?xml version="1.0" encoding="utf-8"?>
<w:webSettings xmlns:r="http://schemas.openxmlformats.org/officeDocument/2006/relationships" xmlns:w="http://schemas.openxmlformats.org/wordprocessingml/2006/main">
  <w:divs>
    <w:div w:id="108252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111.62.40.255/sqdj/flow/apply.do" TargetMode="External"/><Relationship Id="rId4" Type="http://schemas.openxmlformats.org/officeDocument/2006/relationships/hyperlink" Target="http://10.242.2.19/qlk/epointqlk/audititem/material/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2022-05-17T08:17:00Z</dcterms:created>
  <dcterms:modified xsi:type="dcterms:W3CDTF">2022-05-17T08:18:00Z</dcterms:modified>
</cp:coreProperties>
</file>